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7A9" w:rsidRPr="004E67A9" w:rsidRDefault="004E67A9" w:rsidP="004E67A9">
      <w:pPr>
        <w:spacing w:after="288" w:line="240" w:lineRule="auto"/>
        <w:outlineLvl w:val="0"/>
        <w:rPr>
          <w:rFonts w:ascii="Tahoma" w:eastAsia="Times New Roman" w:hAnsi="Tahoma" w:cs="Tahoma"/>
          <w:color w:val="2D2D2D"/>
          <w:kern w:val="36"/>
          <w:sz w:val="48"/>
          <w:szCs w:val="48"/>
        </w:rPr>
      </w:pPr>
      <w:r w:rsidRPr="004E67A9">
        <w:rPr>
          <w:rFonts w:ascii="Tahoma" w:eastAsia="Times New Roman" w:hAnsi="Tahoma" w:cs="Tahoma"/>
          <w:color w:val="2D2D2D"/>
          <w:kern w:val="36"/>
          <w:sz w:val="48"/>
          <w:szCs w:val="48"/>
        </w:rPr>
        <w:t>Муниципальный контроль в сфере благоустройства</w:t>
      </w:r>
    </w:p>
    <w:p w:rsidR="004E67A9" w:rsidRPr="004E67A9" w:rsidRDefault="004E67A9" w:rsidP="004E67A9">
      <w:pPr>
        <w:spacing w:after="0" w:line="253" w:lineRule="atLeast"/>
        <w:rPr>
          <w:rFonts w:ascii="Tahoma" w:eastAsia="Times New Roman" w:hAnsi="Tahoma" w:cs="Tahoma"/>
          <w:color w:val="2D2D2D"/>
          <w:sz w:val="16"/>
          <w:szCs w:val="16"/>
        </w:rPr>
      </w:pPr>
      <w:hyperlink r:id="rId4" w:history="1">
        <w:r w:rsidRPr="004E67A9">
          <w:rPr>
            <w:rFonts w:ascii="Tahoma" w:eastAsia="Times New Roman" w:hAnsi="Tahoma" w:cs="Tahoma"/>
            <w:color w:val="1370B1"/>
            <w:sz w:val="24"/>
            <w:szCs w:val="24"/>
          </w:rPr>
          <w:t>Нормативные правовые акты.</w:t>
        </w:r>
      </w:hyperlink>
    </w:p>
    <w:p w:rsidR="004E67A9" w:rsidRPr="004E67A9" w:rsidRDefault="004E67A9" w:rsidP="004E67A9">
      <w:pPr>
        <w:spacing w:after="0" w:line="253" w:lineRule="atLeast"/>
        <w:rPr>
          <w:rFonts w:ascii="Tahoma" w:eastAsia="Times New Roman" w:hAnsi="Tahoma" w:cs="Tahoma"/>
          <w:color w:val="2D2D2D"/>
          <w:sz w:val="16"/>
          <w:szCs w:val="16"/>
        </w:rPr>
      </w:pPr>
      <w:r w:rsidRPr="004E67A9">
        <w:rPr>
          <w:rFonts w:ascii="Tahoma" w:eastAsia="Times New Roman" w:hAnsi="Tahoma" w:cs="Tahoma"/>
          <w:color w:val="2D2D2D"/>
          <w:sz w:val="16"/>
          <w:szCs w:val="16"/>
        </w:rPr>
        <w:pict>
          <v:rect id="_x0000_i1025" style="width:0;height:1.5pt" o:hralign="center" o:hrstd="t" o:hr="t" fillcolor="silver" stroked="f"/>
        </w:pict>
      </w:r>
    </w:p>
    <w:p w:rsidR="004E67A9" w:rsidRPr="004E67A9" w:rsidRDefault="004E67A9" w:rsidP="004E67A9">
      <w:pPr>
        <w:spacing w:after="0" w:line="253" w:lineRule="atLeast"/>
        <w:rPr>
          <w:rFonts w:ascii="Tahoma" w:eastAsia="Times New Roman" w:hAnsi="Tahoma" w:cs="Tahoma"/>
          <w:color w:val="2D2D2D"/>
          <w:sz w:val="16"/>
          <w:szCs w:val="16"/>
        </w:rPr>
      </w:pPr>
      <w:r w:rsidRPr="004E67A9">
        <w:rPr>
          <w:rFonts w:ascii="Tahoma" w:eastAsia="Times New Roman" w:hAnsi="Tahoma" w:cs="Tahoma"/>
          <w:color w:val="2D2D2D"/>
          <w:sz w:val="16"/>
          <w:szCs w:val="16"/>
        </w:rPr>
        <w:t> </w:t>
      </w:r>
    </w:p>
    <w:p w:rsidR="004E67A9" w:rsidRPr="004E67A9" w:rsidRDefault="004E67A9" w:rsidP="004E67A9">
      <w:pPr>
        <w:spacing w:after="0" w:line="253" w:lineRule="atLeast"/>
        <w:rPr>
          <w:rFonts w:ascii="Tahoma" w:eastAsia="Times New Roman" w:hAnsi="Tahoma" w:cs="Tahoma"/>
          <w:color w:val="2D2D2D"/>
          <w:sz w:val="16"/>
          <w:szCs w:val="16"/>
        </w:rPr>
      </w:pPr>
      <w:hyperlink r:id="rId5" w:history="1">
        <w:r w:rsidRPr="004E67A9">
          <w:rPr>
            <w:rFonts w:ascii="Tahoma" w:eastAsia="Times New Roman" w:hAnsi="Tahoma" w:cs="Tahoma"/>
            <w:color w:val="FF0000"/>
            <w:sz w:val="24"/>
            <w:szCs w:val="24"/>
          </w:rPr>
          <w:t>1)</w:t>
        </w:r>
        <w:r w:rsidRPr="004E67A9">
          <w:rPr>
            <w:rFonts w:ascii="Tahoma" w:eastAsia="Times New Roman" w:hAnsi="Tahoma" w:cs="Tahoma"/>
            <w:color w:val="1370B1"/>
            <w:sz w:val="24"/>
            <w:szCs w:val="24"/>
          </w:rPr>
          <w:t> Тексты нормативных правовых актов, регулирующих осуществление государственного контроля (надзора), муниципального контроля.</w:t>
        </w:r>
      </w:hyperlink>
    </w:p>
    <w:p w:rsidR="004E67A9" w:rsidRPr="004E67A9" w:rsidRDefault="004E67A9" w:rsidP="004E67A9">
      <w:pPr>
        <w:spacing w:after="0" w:line="253" w:lineRule="atLeast"/>
        <w:rPr>
          <w:rFonts w:ascii="Tahoma" w:eastAsia="Times New Roman" w:hAnsi="Tahoma" w:cs="Tahoma"/>
          <w:color w:val="2D2D2D"/>
          <w:sz w:val="16"/>
          <w:szCs w:val="16"/>
        </w:rPr>
      </w:pPr>
      <w:hyperlink r:id="rId6" w:history="1">
        <w:r w:rsidRPr="004E67A9">
          <w:rPr>
            <w:rFonts w:ascii="Tahoma" w:eastAsia="Times New Roman" w:hAnsi="Tahoma" w:cs="Tahoma"/>
            <w:color w:val="FF0000"/>
            <w:sz w:val="24"/>
            <w:szCs w:val="24"/>
          </w:rPr>
          <w:t>2)</w:t>
        </w:r>
        <w:r w:rsidRPr="004E67A9">
          <w:rPr>
            <w:rFonts w:ascii="Tahoma" w:eastAsia="Times New Roman" w:hAnsi="Tahoma" w:cs="Tahoma"/>
            <w:color w:val="1370B1"/>
            <w:sz w:val="24"/>
            <w:szCs w:val="24"/>
          </w:rPr>
          <w:t> 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силу.</w:t>
        </w:r>
      </w:hyperlink>
    </w:p>
    <w:p w:rsidR="004E67A9" w:rsidRPr="004E67A9" w:rsidRDefault="004E67A9" w:rsidP="004E67A9">
      <w:pPr>
        <w:spacing w:after="0" w:line="253" w:lineRule="atLeast"/>
        <w:rPr>
          <w:rFonts w:ascii="Tahoma" w:eastAsia="Times New Roman" w:hAnsi="Tahoma" w:cs="Tahoma"/>
          <w:color w:val="2D2D2D"/>
          <w:sz w:val="16"/>
          <w:szCs w:val="16"/>
        </w:rPr>
      </w:pPr>
      <w:hyperlink r:id="rId7" w:history="1">
        <w:r w:rsidRPr="004E67A9">
          <w:rPr>
            <w:rFonts w:ascii="Tahoma" w:eastAsia="Times New Roman" w:hAnsi="Tahoma" w:cs="Tahoma"/>
            <w:color w:val="FF0000"/>
            <w:sz w:val="24"/>
            <w:szCs w:val="24"/>
          </w:rPr>
          <w:t>3)</w:t>
        </w:r>
        <w:r w:rsidRPr="004E67A9">
          <w:rPr>
            <w:rFonts w:ascii="Tahoma" w:eastAsia="Times New Roman" w:hAnsi="Tahoma" w:cs="Tahoma"/>
            <w:color w:val="1370B1"/>
            <w:sz w:val="24"/>
            <w:szCs w:val="24"/>
          </w:rPr>
          <w:t> 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контроля.</w:t>
        </w:r>
      </w:hyperlink>
    </w:p>
    <w:p w:rsidR="004E67A9" w:rsidRPr="004E67A9" w:rsidRDefault="004E67A9" w:rsidP="004E67A9">
      <w:pPr>
        <w:spacing w:after="0" w:line="253" w:lineRule="atLeast"/>
        <w:rPr>
          <w:rFonts w:ascii="Tahoma" w:eastAsia="Times New Roman" w:hAnsi="Tahoma" w:cs="Tahoma"/>
          <w:color w:val="2D2D2D"/>
          <w:sz w:val="16"/>
          <w:szCs w:val="16"/>
        </w:rPr>
      </w:pPr>
      <w:hyperlink r:id="rId8" w:history="1">
        <w:r w:rsidRPr="004E67A9">
          <w:rPr>
            <w:rFonts w:ascii="Tahoma" w:eastAsia="Times New Roman" w:hAnsi="Tahoma" w:cs="Tahoma"/>
            <w:color w:val="FF0000"/>
            <w:sz w:val="24"/>
            <w:szCs w:val="24"/>
          </w:rPr>
          <w:t>4)</w:t>
        </w:r>
        <w:r w:rsidRPr="004E67A9">
          <w:rPr>
            <w:rFonts w:ascii="Tahoma" w:eastAsia="Times New Roman" w:hAnsi="Tahoma" w:cs="Tahoma"/>
            <w:color w:val="1370B1"/>
            <w:sz w:val="24"/>
            <w:szCs w:val="24"/>
          </w:rPr>
          <w:t xml:space="preserve"> Утвержденные проверочные листы в формате, допускающем их использование для </w:t>
        </w:r>
        <w:proofErr w:type="spellStart"/>
        <w:r w:rsidRPr="004E67A9">
          <w:rPr>
            <w:rFonts w:ascii="Tahoma" w:eastAsia="Times New Roman" w:hAnsi="Tahoma" w:cs="Tahoma"/>
            <w:color w:val="1370B1"/>
            <w:sz w:val="24"/>
            <w:szCs w:val="24"/>
          </w:rPr>
          <w:t>самообследования</w:t>
        </w:r>
        <w:proofErr w:type="spellEnd"/>
        <w:r w:rsidRPr="004E67A9">
          <w:rPr>
            <w:rFonts w:ascii="Tahoma" w:eastAsia="Times New Roman" w:hAnsi="Tahoma" w:cs="Tahoma"/>
            <w:color w:val="1370B1"/>
            <w:sz w:val="24"/>
            <w:szCs w:val="24"/>
          </w:rPr>
          <w:t>.</w:t>
        </w:r>
      </w:hyperlink>
    </w:p>
    <w:p w:rsidR="004E67A9" w:rsidRPr="004E67A9" w:rsidRDefault="004E67A9" w:rsidP="004E67A9">
      <w:pPr>
        <w:spacing w:after="0" w:line="253" w:lineRule="atLeast"/>
        <w:rPr>
          <w:rFonts w:ascii="Tahoma" w:eastAsia="Times New Roman" w:hAnsi="Tahoma" w:cs="Tahoma"/>
          <w:color w:val="2D2D2D"/>
          <w:sz w:val="16"/>
          <w:szCs w:val="16"/>
        </w:rPr>
      </w:pPr>
      <w:hyperlink r:id="rId9" w:history="1">
        <w:r w:rsidRPr="004E67A9">
          <w:rPr>
            <w:rFonts w:ascii="Tahoma" w:eastAsia="Times New Roman" w:hAnsi="Tahoma" w:cs="Tahoma"/>
            <w:color w:val="FF0000"/>
            <w:sz w:val="24"/>
            <w:szCs w:val="24"/>
          </w:rPr>
          <w:t>5)</w:t>
        </w:r>
        <w:r w:rsidRPr="004E67A9">
          <w:rPr>
            <w:rFonts w:ascii="Tahoma" w:eastAsia="Times New Roman" w:hAnsi="Tahoma" w:cs="Tahoma"/>
            <w:color w:val="1370B1"/>
            <w:sz w:val="24"/>
            <w:szCs w:val="24"/>
          </w:rPr>
          <w:t> Руководства по соблюдению обязательных требований, разработанные и утвержденные в соответствии с Федеральным законом "Об обязательных требованиях в Российской Федерации".</w:t>
        </w:r>
      </w:hyperlink>
    </w:p>
    <w:p w:rsidR="004E67A9" w:rsidRPr="004E67A9" w:rsidRDefault="004E67A9" w:rsidP="004E67A9">
      <w:pPr>
        <w:spacing w:after="0" w:line="253" w:lineRule="atLeast"/>
        <w:rPr>
          <w:rFonts w:ascii="Tahoma" w:eastAsia="Times New Roman" w:hAnsi="Tahoma" w:cs="Tahoma"/>
          <w:color w:val="2D2D2D"/>
          <w:sz w:val="16"/>
          <w:szCs w:val="16"/>
        </w:rPr>
      </w:pPr>
      <w:hyperlink r:id="rId10" w:history="1">
        <w:r w:rsidRPr="004E67A9">
          <w:rPr>
            <w:rFonts w:ascii="Tahoma" w:eastAsia="Times New Roman" w:hAnsi="Tahoma" w:cs="Tahoma"/>
            <w:color w:val="FF0000"/>
            <w:sz w:val="24"/>
            <w:szCs w:val="24"/>
          </w:rPr>
          <w:t>6)</w:t>
        </w:r>
        <w:r w:rsidRPr="004E67A9">
          <w:rPr>
            <w:rFonts w:ascii="Tahoma" w:eastAsia="Times New Roman" w:hAnsi="Tahoma" w:cs="Tahoma"/>
            <w:color w:val="1370B1"/>
            <w:sz w:val="24"/>
            <w:szCs w:val="24"/>
          </w:rPr>
          <w:t> Перечень индикаторов риска нарушения обязательных требований, порядок отнесения объектов контроля к категориям риска.</w:t>
        </w:r>
      </w:hyperlink>
    </w:p>
    <w:p w:rsidR="004E67A9" w:rsidRPr="004E67A9" w:rsidRDefault="004E67A9" w:rsidP="004E67A9">
      <w:pPr>
        <w:spacing w:after="0" w:line="253" w:lineRule="atLeast"/>
        <w:rPr>
          <w:rFonts w:ascii="Tahoma" w:eastAsia="Times New Roman" w:hAnsi="Tahoma" w:cs="Tahoma"/>
          <w:color w:val="2D2D2D"/>
          <w:sz w:val="16"/>
          <w:szCs w:val="16"/>
        </w:rPr>
      </w:pPr>
      <w:hyperlink r:id="rId11" w:history="1">
        <w:r w:rsidRPr="004E67A9">
          <w:rPr>
            <w:rFonts w:ascii="Tahoma" w:eastAsia="Times New Roman" w:hAnsi="Tahoma" w:cs="Tahoma"/>
            <w:color w:val="FF0000"/>
            <w:sz w:val="24"/>
            <w:szCs w:val="24"/>
          </w:rPr>
          <w:t>7)</w:t>
        </w:r>
        <w:r w:rsidRPr="004E67A9">
          <w:rPr>
            <w:rFonts w:ascii="Tahoma" w:eastAsia="Times New Roman" w:hAnsi="Tahoma" w:cs="Tahoma"/>
            <w:color w:val="1370B1"/>
            <w:sz w:val="24"/>
            <w:szCs w:val="24"/>
          </w:rPr>
          <w:t> Перечень объектов контроля, учитываемых в рамках формирования ежегодного плана контрольных (надзорных) мероприятий, с указанием категории риска.</w:t>
        </w:r>
      </w:hyperlink>
    </w:p>
    <w:p w:rsidR="004E67A9" w:rsidRPr="004E67A9" w:rsidRDefault="004E67A9" w:rsidP="004E67A9">
      <w:pPr>
        <w:spacing w:after="0" w:line="253" w:lineRule="atLeast"/>
        <w:rPr>
          <w:rFonts w:ascii="Tahoma" w:eastAsia="Times New Roman" w:hAnsi="Tahoma" w:cs="Tahoma"/>
          <w:color w:val="2D2D2D"/>
          <w:sz w:val="16"/>
          <w:szCs w:val="16"/>
        </w:rPr>
      </w:pPr>
      <w:hyperlink r:id="rId12" w:history="1">
        <w:r w:rsidRPr="004E67A9">
          <w:rPr>
            <w:rFonts w:ascii="Tahoma" w:eastAsia="Times New Roman" w:hAnsi="Tahoma" w:cs="Tahoma"/>
            <w:color w:val="FF0000"/>
            <w:sz w:val="24"/>
            <w:szCs w:val="24"/>
          </w:rPr>
          <w:t>8)</w:t>
        </w:r>
        <w:r w:rsidRPr="004E67A9">
          <w:rPr>
            <w:rFonts w:ascii="Tahoma" w:eastAsia="Times New Roman" w:hAnsi="Tahoma" w:cs="Tahoma"/>
            <w:color w:val="1370B1"/>
            <w:sz w:val="24"/>
            <w:szCs w:val="24"/>
          </w:rPr>
          <w:t> Программа профилактики рисков причинения вреда и план проведения плановых контрольных (надзорных) мероприятий контрольным (надзорным) органом (при проведении таких мероприятий).</w:t>
        </w:r>
      </w:hyperlink>
    </w:p>
    <w:p w:rsidR="004E67A9" w:rsidRPr="004E67A9" w:rsidRDefault="004E67A9" w:rsidP="004E67A9">
      <w:pPr>
        <w:spacing w:after="0" w:line="253" w:lineRule="atLeast"/>
        <w:rPr>
          <w:rFonts w:ascii="Tahoma" w:eastAsia="Times New Roman" w:hAnsi="Tahoma" w:cs="Tahoma"/>
          <w:color w:val="2D2D2D"/>
          <w:sz w:val="16"/>
          <w:szCs w:val="16"/>
        </w:rPr>
      </w:pPr>
      <w:hyperlink r:id="rId13" w:history="1">
        <w:r w:rsidRPr="004E67A9">
          <w:rPr>
            <w:rFonts w:ascii="Tahoma" w:eastAsia="Times New Roman" w:hAnsi="Tahoma" w:cs="Tahoma"/>
            <w:color w:val="FF0000"/>
            <w:sz w:val="24"/>
            <w:szCs w:val="24"/>
          </w:rPr>
          <w:t>9)</w:t>
        </w:r>
        <w:r w:rsidRPr="004E67A9">
          <w:rPr>
            <w:rFonts w:ascii="Tahoma" w:eastAsia="Times New Roman" w:hAnsi="Tahoma" w:cs="Tahoma"/>
            <w:color w:val="1370B1"/>
            <w:sz w:val="24"/>
            <w:szCs w:val="24"/>
          </w:rPr>
          <w:t> Исчерпывающий перечень сведений, которые могут запрашиваться контрольным (надзорным) органом у контролируемого лица.</w:t>
        </w:r>
      </w:hyperlink>
    </w:p>
    <w:p w:rsidR="004E67A9" w:rsidRPr="004E67A9" w:rsidRDefault="004E67A9" w:rsidP="004E67A9">
      <w:pPr>
        <w:spacing w:after="0" w:line="253" w:lineRule="atLeast"/>
        <w:rPr>
          <w:rFonts w:ascii="Tahoma" w:eastAsia="Times New Roman" w:hAnsi="Tahoma" w:cs="Tahoma"/>
          <w:color w:val="2D2D2D"/>
          <w:sz w:val="16"/>
          <w:szCs w:val="16"/>
        </w:rPr>
      </w:pPr>
      <w:hyperlink r:id="rId14" w:history="1">
        <w:r w:rsidRPr="004E67A9">
          <w:rPr>
            <w:rFonts w:ascii="Tahoma" w:eastAsia="Times New Roman" w:hAnsi="Tahoma" w:cs="Tahoma"/>
            <w:color w:val="FF0000"/>
            <w:sz w:val="24"/>
            <w:szCs w:val="24"/>
          </w:rPr>
          <w:t>10)</w:t>
        </w:r>
        <w:r w:rsidRPr="004E67A9">
          <w:rPr>
            <w:rFonts w:ascii="Tahoma" w:eastAsia="Times New Roman" w:hAnsi="Tahoma" w:cs="Tahoma"/>
            <w:color w:val="1370B1"/>
            <w:sz w:val="24"/>
            <w:szCs w:val="24"/>
          </w:rPr>
          <w:t> Сведения о способах получения консультаций по вопросам соблюдения обязательных требований.</w:t>
        </w:r>
      </w:hyperlink>
    </w:p>
    <w:p w:rsidR="004E67A9" w:rsidRPr="004E67A9" w:rsidRDefault="004E67A9" w:rsidP="004E67A9">
      <w:pPr>
        <w:spacing w:after="0" w:line="253" w:lineRule="atLeast"/>
        <w:rPr>
          <w:rFonts w:ascii="Tahoma" w:eastAsia="Times New Roman" w:hAnsi="Tahoma" w:cs="Tahoma"/>
          <w:color w:val="2D2D2D"/>
          <w:sz w:val="16"/>
          <w:szCs w:val="16"/>
        </w:rPr>
      </w:pPr>
      <w:hyperlink r:id="rId15" w:history="1">
        <w:r w:rsidRPr="004E67A9">
          <w:rPr>
            <w:rFonts w:ascii="Tahoma" w:eastAsia="Times New Roman" w:hAnsi="Tahoma" w:cs="Tahoma"/>
            <w:color w:val="FF0000"/>
            <w:sz w:val="24"/>
            <w:szCs w:val="24"/>
          </w:rPr>
          <w:t>11)</w:t>
        </w:r>
        <w:r w:rsidRPr="004E67A9">
          <w:rPr>
            <w:rFonts w:ascii="Tahoma" w:eastAsia="Times New Roman" w:hAnsi="Tahoma" w:cs="Tahoma"/>
            <w:color w:val="1370B1"/>
            <w:sz w:val="24"/>
            <w:szCs w:val="24"/>
          </w:rPr>
          <w:t> Сведения о применении контрольным (надзорным) органом мер стимулирования добросовестности контролируемых лиц.</w:t>
        </w:r>
      </w:hyperlink>
    </w:p>
    <w:p w:rsidR="004E67A9" w:rsidRPr="004E67A9" w:rsidRDefault="004E67A9" w:rsidP="004E67A9">
      <w:pPr>
        <w:spacing w:after="0" w:line="253" w:lineRule="atLeast"/>
        <w:rPr>
          <w:rFonts w:ascii="Tahoma" w:eastAsia="Times New Roman" w:hAnsi="Tahoma" w:cs="Tahoma"/>
          <w:color w:val="2D2D2D"/>
          <w:sz w:val="16"/>
          <w:szCs w:val="16"/>
        </w:rPr>
      </w:pPr>
      <w:hyperlink r:id="rId16" w:history="1">
        <w:r w:rsidRPr="004E67A9">
          <w:rPr>
            <w:rFonts w:ascii="Tahoma" w:eastAsia="Times New Roman" w:hAnsi="Tahoma" w:cs="Tahoma"/>
            <w:color w:val="FF0000"/>
            <w:sz w:val="24"/>
            <w:szCs w:val="24"/>
          </w:rPr>
          <w:t>12)</w:t>
        </w:r>
        <w:r w:rsidRPr="004E67A9">
          <w:rPr>
            <w:rFonts w:ascii="Tahoma" w:eastAsia="Times New Roman" w:hAnsi="Tahoma" w:cs="Tahoma"/>
            <w:color w:val="1370B1"/>
            <w:sz w:val="24"/>
            <w:szCs w:val="24"/>
          </w:rPr>
          <w:t> Сведения о порядке досудебного обжалования решений контрольного (надзорного) органа, действий (бездействия) его должностных лиц.</w:t>
        </w:r>
      </w:hyperlink>
    </w:p>
    <w:p w:rsidR="004E67A9" w:rsidRPr="004E67A9" w:rsidRDefault="004E67A9" w:rsidP="004E67A9">
      <w:pPr>
        <w:spacing w:after="0" w:line="253" w:lineRule="atLeast"/>
        <w:rPr>
          <w:rFonts w:ascii="Tahoma" w:eastAsia="Times New Roman" w:hAnsi="Tahoma" w:cs="Tahoma"/>
          <w:color w:val="2D2D2D"/>
          <w:sz w:val="16"/>
          <w:szCs w:val="16"/>
        </w:rPr>
      </w:pPr>
      <w:hyperlink r:id="rId17" w:history="1">
        <w:r w:rsidRPr="004E67A9">
          <w:rPr>
            <w:rFonts w:ascii="Tahoma" w:eastAsia="Times New Roman" w:hAnsi="Tahoma" w:cs="Tahoma"/>
            <w:color w:val="FF0000"/>
            <w:sz w:val="24"/>
            <w:szCs w:val="24"/>
          </w:rPr>
          <w:t>13)</w:t>
        </w:r>
        <w:r w:rsidRPr="004E67A9">
          <w:rPr>
            <w:rFonts w:ascii="Tahoma" w:eastAsia="Times New Roman" w:hAnsi="Tahoma" w:cs="Tahoma"/>
            <w:color w:val="1370B1"/>
            <w:sz w:val="24"/>
            <w:szCs w:val="24"/>
          </w:rPr>
          <w:t> Доклады, содержащие результаты обобщения правоприменительной практики контрольного (надзорного) органа.</w:t>
        </w:r>
      </w:hyperlink>
    </w:p>
    <w:p w:rsidR="004E67A9" w:rsidRPr="004E67A9" w:rsidRDefault="004E67A9" w:rsidP="004E67A9">
      <w:pPr>
        <w:spacing w:after="0" w:line="253" w:lineRule="atLeast"/>
        <w:rPr>
          <w:rFonts w:ascii="Tahoma" w:eastAsia="Times New Roman" w:hAnsi="Tahoma" w:cs="Tahoma"/>
          <w:color w:val="2D2D2D"/>
          <w:sz w:val="16"/>
          <w:szCs w:val="16"/>
        </w:rPr>
      </w:pPr>
      <w:hyperlink r:id="rId18" w:history="1">
        <w:r w:rsidRPr="004E67A9">
          <w:rPr>
            <w:rFonts w:ascii="Tahoma" w:eastAsia="Times New Roman" w:hAnsi="Tahoma" w:cs="Tahoma"/>
            <w:color w:val="FF0000"/>
            <w:sz w:val="24"/>
            <w:szCs w:val="24"/>
          </w:rPr>
          <w:t>14)</w:t>
        </w:r>
        <w:r w:rsidRPr="004E67A9">
          <w:rPr>
            <w:rFonts w:ascii="Tahoma" w:eastAsia="Times New Roman" w:hAnsi="Tahoma" w:cs="Tahoma"/>
            <w:color w:val="1370B1"/>
            <w:sz w:val="24"/>
            <w:szCs w:val="24"/>
          </w:rPr>
          <w:t> Доклады о государственном контроле (надзоре), муниципальном контроле.</w:t>
        </w:r>
      </w:hyperlink>
    </w:p>
    <w:p w:rsidR="004E67A9" w:rsidRPr="004E67A9" w:rsidRDefault="004E67A9" w:rsidP="004E67A9">
      <w:pPr>
        <w:spacing w:after="0" w:line="253" w:lineRule="atLeast"/>
        <w:rPr>
          <w:rFonts w:ascii="Tahoma" w:eastAsia="Times New Roman" w:hAnsi="Tahoma" w:cs="Tahoma"/>
          <w:color w:val="2D2D2D"/>
          <w:sz w:val="16"/>
          <w:szCs w:val="16"/>
        </w:rPr>
      </w:pPr>
      <w:hyperlink r:id="rId19" w:history="1">
        <w:r w:rsidRPr="004E67A9">
          <w:rPr>
            <w:rFonts w:ascii="Tahoma" w:eastAsia="Times New Roman" w:hAnsi="Tahoma" w:cs="Tahoma"/>
            <w:color w:val="FF0000"/>
            <w:sz w:val="24"/>
            <w:szCs w:val="24"/>
          </w:rPr>
          <w:t>15)</w:t>
        </w:r>
        <w:r w:rsidRPr="004E67A9">
          <w:rPr>
            <w:rFonts w:ascii="Tahoma" w:eastAsia="Times New Roman" w:hAnsi="Tahoma" w:cs="Tahoma"/>
            <w:color w:val="114B74"/>
            <w:sz w:val="24"/>
            <w:szCs w:val="24"/>
          </w:rPr>
          <w:t xml:space="preserve"> Информация о способах и процедуре </w:t>
        </w:r>
        <w:proofErr w:type="spellStart"/>
        <w:r w:rsidRPr="004E67A9">
          <w:rPr>
            <w:rFonts w:ascii="Tahoma" w:eastAsia="Times New Roman" w:hAnsi="Tahoma" w:cs="Tahoma"/>
            <w:color w:val="114B74"/>
            <w:sz w:val="24"/>
            <w:szCs w:val="24"/>
          </w:rPr>
          <w:t>самообследования</w:t>
        </w:r>
        <w:proofErr w:type="spellEnd"/>
        <w:r w:rsidRPr="004E67A9">
          <w:rPr>
            <w:rFonts w:ascii="Tahoma" w:eastAsia="Times New Roman" w:hAnsi="Tahoma" w:cs="Tahoma"/>
            <w:color w:val="114B74"/>
            <w:sz w:val="24"/>
            <w:szCs w:val="24"/>
          </w:rPr>
          <w:t xml:space="preserve">, методические рекомендации по проведению </w:t>
        </w:r>
        <w:proofErr w:type="spellStart"/>
        <w:r w:rsidRPr="004E67A9">
          <w:rPr>
            <w:rFonts w:ascii="Tahoma" w:eastAsia="Times New Roman" w:hAnsi="Tahoma" w:cs="Tahoma"/>
            <w:color w:val="114B74"/>
            <w:sz w:val="24"/>
            <w:szCs w:val="24"/>
          </w:rPr>
          <w:t>самообследования</w:t>
        </w:r>
        <w:proofErr w:type="spellEnd"/>
        <w:r w:rsidRPr="004E67A9">
          <w:rPr>
            <w:rFonts w:ascii="Tahoma" w:eastAsia="Times New Roman" w:hAnsi="Tahoma" w:cs="Tahoma"/>
            <w:color w:val="114B74"/>
            <w:sz w:val="24"/>
            <w:szCs w:val="24"/>
          </w:rPr>
          <w:t xml:space="preserve"> и подготовке декларации соблюдения обязательных требований.</w:t>
        </w:r>
      </w:hyperlink>
    </w:p>
    <w:p w:rsidR="004E67A9" w:rsidRPr="004E67A9" w:rsidRDefault="004E67A9" w:rsidP="004E67A9">
      <w:pPr>
        <w:spacing w:after="0" w:line="253" w:lineRule="atLeast"/>
        <w:rPr>
          <w:rFonts w:ascii="Tahoma" w:eastAsia="Times New Roman" w:hAnsi="Tahoma" w:cs="Tahoma"/>
          <w:color w:val="2D2D2D"/>
          <w:sz w:val="16"/>
          <w:szCs w:val="16"/>
        </w:rPr>
      </w:pPr>
      <w:hyperlink r:id="rId20" w:history="1">
        <w:r w:rsidRPr="004E67A9">
          <w:rPr>
            <w:rFonts w:ascii="Tahoma" w:eastAsia="Times New Roman" w:hAnsi="Tahoma" w:cs="Tahoma"/>
            <w:color w:val="FF0000"/>
            <w:sz w:val="24"/>
            <w:szCs w:val="24"/>
          </w:rPr>
          <w:t>16)</w:t>
        </w:r>
        <w:r w:rsidRPr="004E67A9">
          <w:rPr>
            <w:rFonts w:ascii="Tahoma" w:eastAsia="Times New Roman" w:hAnsi="Tahoma" w:cs="Tahoma"/>
            <w:color w:val="1370B1"/>
            <w:sz w:val="24"/>
            <w:szCs w:val="24"/>
          </w:rPr>
          <w:t> Иные сведения, предусмотренные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  </w:r>
      </w:hyperlink>
    </w:p>
    <w:p w:rsidR="00C22CAD" w:rsidRDefault="00C22CAD"/>
    <w:sectPr w:rsidR="00C22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4E67A9"/>
    <w:rsid w:val="004E67A9"/>
    <w:rsid w:val="00C22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67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67A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4E67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E67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6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23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--7sbbqrkctdbjvdlfmr7n.xn--p1ai/deyatelnost/proverki/munitsipalnyy-kontrol-v-sfere-blagoustroystva/4-utverzhdennye-proverochnye-listy-v-formate-dopuskayushchem-ikh-ispolzovanie-dlya-samoobsledovaniya" TargetMode="External"/><Relationship Id="rId13" Type="http://schemas.openxmlformats.org/officeDocument/2006/relationships/hyperlink" Target="http://xn----7sbbqrkctdbjvdlfmr7n.xn--p1ai/deyatelnost/proverki/munitsipalnyy-kontrol-v-sfere-blagoustroystva/9-ischerpyvayushchiy-perechen-svedeniy-kotorye-mogut-zaprashivatsya-kontrolnym-nadzornym-organom-u-kontroliruemogo-litsa" TargetMode="External"/><Relationship Id="rId18" Type="http://schemas.openxmlformats.org/officeDocument/2006/relationships/hyperlink" Target="http://xn----7sbbqrkctdbjvdlfmr7n.xn--p1ai/deyatelnost/proverki/munitsipalnyy-kontrol-v-sfere-blagoustroystva/14-doklady-o-gosudarstvennom-kontrole-nadzore-munitsipalnom-kontrole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xn----7sbbqrkctdbjvdlfmr7n.xn--p1ai/deyatelnost/proverki/munitsipalnyy-kontrol-v-sfere-blagoustroystva/3-perechen-normativnykh-pravovykh-aktov-s-ukazaniem-strukturnykh-edinits-etikh-aktov-soderzhashchikh-obyazatelnye-trebovaniya-otsenka-soblyudeniya-kotorykh-yavlyaetsya-predmetom-kontrolya" TargetMode="External"/><Relationship Id="rId12" Type="http://schemas.openxmlformats.org/officeDocument/2006/relationships/hyperlink" Target="http://xn----7sbbqrkctdbjvdlfmr7n.xn--p1ai/deyatelnost/proverki/munitsipalnyy-kontrol-v-sfere-blagoustroystva/8-programma-profilaktiki-riskov-prichineniya-vreda-i-plan-provedeniya-planovykh-kontrolnykh-nadzornykh-meropriyatiy-kontrolnym-nadzornym-organom-pri-provedenii-takikh-meropriyatiy" TargetMode="External"/><Relationship Id="rId17" Type="http://schemas.openxmlformats.org/officeDocument/2006/relationships/hyperlink" Target="http://xn----7sbbqrkctdbjvdlfmr7n.xn--p1ai/deyatelnost/proverki/munitsipalnyy-kontrol-v-sfere-blagoustroystva/13-doklady-soderzhashchie-rezultaty-obobshcheniya-pravoprimenitelnoy-praktiki-kontrolnogo-nadzornogo-organa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xn----7sbbqrkctdbjvdlfmr7n.xn--p1ai/deyatelnost/proverki/munitsipalnyy-kontrol-v-sfere-blagoustroystva/12-svedeniya-o-poryadke-dosudebnogo-obzhalovaniya-resheniy-kontrolnogo-nadzornogo-organa-deystviy-bezdeystviya-ego-dolzhnostnykh-lits" TargetMode="External"/><Relationship Id="rId20" Type="http://schemas.openxmlformats.org/officeDocument/2006/relationships/hyperlink" Target="http://xn----7sbbqrkctdbjvdlfmr7n.xn--p1ai/deyatelnost/proverki/munitsipalnyy-kontrol-v-sfere-blagoustroystva/16-inye-svedeniya-predusmotrennye-normativnymi-pravovymi-aktami-rossiyskoy-federatsii-normativnymi-pravovymi-aktami-subektov-rossiyskoy-federatsii-munitsipalnymi-pravovymi-aktami" TargetMode="External"/><Relationship Id="rId1" Type="http://schemas.openxmlformats.org/officeDocument/2006/relationships/styles" Target="styles.xml"/><Relationship Id="rId6" Type="http://schemas.openxmlformats.org/officeDocument/2006/relationships/hyperlink" Target="http://xn----7sbbqrkctdbjvdlfmr7n.xn--p1ai/deyatelnost/proverki/munitsipalnyy-kontrol-v-sfere-blagoustroystva/2-svedeniya-ob-izmeneniyakh-vnesennykh-v-normativnye-pravovye-akty-reguliruyushchie-osushchestvlenie-munitsipalnogo-kontrolya-o-srokakh-i-poryadke-ikh-vstupleniya-v-silu" TargetMode="External"/><Relationship Id="rId11" Type="http://schemas.openxmlformats.org/officeDocument/2006/relationships/hyperlink" Target="http://xn----7sbbqrkctdbjvdlfmr7n.xn--p1ai/deyatelnost/proverki/munitsipalnyy-kontrol-v-sfere-blagoustroystva/7-perechen-obektov-kontrolya-uchityvaemykh-v-ramkakh-formirovaniya-ezhegodnogo-plana-kontrolnykh-nadzornykh-meropriyatiy-s-ukazaniem-kategorii-riska" TargetMode="External"/><Relationship Id="rId5" Type="http://schemas.openxmlformats.org/officeDocument/2006/relationships/hyperlink" Target="http://xn----7sbbqrkctdbjvdlfmr7n.xn--p1ai/deyatelnost/proverki/munitsipalnyy-kontrol-v-sfere-blagoustroystva/1-teksty-normativnykh-pravovykh-aktov-reguliruyushchikh-osushchestvlenie-gosudarstvennogo-kontrolya-nadzora-munitsipalnogo-kontrolya" TargetMode="External"/><Relationship Id="rId15" Type="http://schemas.openxmlformats.org/officeDocument/2006/relationships/hyperlink" Target="http://xn----7sbbqrkctdbjvdlfmr7n.xn--p1ai/deyatelnost/proverki/munitsipalnyy-kontrol-v-sfere-blagoustroystva/11-svedeniya-o-primenenii-kontrolnym-nadzornym-organom-mer-stimulirovaniya-dobrosovestnosti-kontroliruemykh-lits" TargetMode="External"/><Relationship Id="rId10" Type="http://schemas.openxmlformats.org/officeDocument/2006/relationships/hyperlink" Target="http://xn----7sbbqrkctdbjvdlfmr7n.xn--p1ai/deyatelnost/proverki/munitsipalnyy-kontrol-v-sfere-blagoustroystva/6-perechen-indikatorov-riska-narusheniya-obyazatelnykh-trebovaniy-poryadok-otneseniya-obektov-kontrolya-k-kategoriyam-riska" TargetMode="External"/><Relationship Id="rId19" Type="http://schemas.openxmlformats.org/officeDocument/2006/relationships/hyperlink" Target="http://xn----7sbbqrkctdbjvdlfmr7n.xn--p1ai/deyatelnost/proverki/munitsipalnyy-kontrol-v-sfere-blagoustroystva/15-informatsiya-o-sposobakh-i-protsedure-samoobsledovaniya-metodicheskie-rekomendatsii-po-provedeniyu-samoobsledovaniya-i-podgotovke-deklaratsii-soblyudeniya-obyazatelnykh-trebovaniy" TargetMode="External"/><Relationship Id="rId4" Type="http://schemas.openxmlformats.org/officeDocument/2006/relationships/hyperlink" Target="http://xn----7sbbqrkctdbjvdlfmr7n.xn--p1ai/deyatelnost/proverki/munitsipalnyy-kontrol-v-sfere-blagoustroystva/normativnye-pravovye-akty" TargetMode="External"/><Relationship Id="rId9" Type="http://schemas.openxmlformats.org/officeDocument/2006/relationships/hyperlink" Target="http://xn----7sbbqrkctdbjvdlfmr7n.xn--p1ai/deyatelnost/proverki/munitsipalnyy-kontrol-v-sfere-blagoustroystva/5-rukovodstva-po-soblyudeniyu-obyazatelnykh-trebovaniy-razrabotannye-i-utverzhdennye-v-sootvetstvii-s-federalnym-zakonom-ob-obyazatelnykh-trebovaniyakh-v-rossiyskoy-federatsii-" TargetMode="External"/><Relationship Id="rId14" Type="http://schemas.openxmlformats.org/officeDocument/2006/relationships/hyperlink" Target="http://xn----7sbbqrkctdbjvdlfmr7n.xn--p1ai/deyatelnost/proverki/munitsipalnyy-kontrol-v-sfere-blagoustroystva/10-svedeniya-o-sposobakh-polucheniya-konsultatsiy-po-voprosam-soblyudeniya-obyazatelnykh-trebovaniy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992</Words>
  <Characters>5661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Togulselsovet</dc:creator>
  <cp:keywords/>
  <dc:description/>
  <cp:lastModifiedBy>Togulselsovet</cp:lastModifiedBy>
  <cp:revision>3</cp:revision>
  <dcterms:created xsi:type="dcterms:W3CDTF">2023-02-16T03:54:00Z</dcterms:created>
  <dcterms:modified xsi:type="dcterms:W3CDTF">2023-02-16T03:57:00Z</dcterms:modified>
</cp:coreProperties>
</file>